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7534E" w14:textId="77777777" w:rsidR="0054103B" w:rsidRPr="007F08A5" w:rsidRDefault="0054103B" w:rsidP="007F08A5">
      <w:pPr>
        <w:spacing w:after="0" w:line="360" w:lineRule="auto"/>
        <w:ind w:left="284" w:hanging="142"/>
        <w:jc w:val="center"/>
        <w:rPr>
          <w:rFonts w:ascii="Times New Roman" w:hAnsi="Times New Roman"/>
          <w:b/>
          <w:sz w:val="40"/>
          <w:szCs w:val="40"/>
        </w:rPr>
      </w:pPr>
      <w:bookmarkStart w:id="0" w:name="_GoBack"/>
      <w:bookmarkEnd w:id="0"/>
      <w:r w:rsidRPr="007F08A5">
        <w:rPr>
          <w:rFonts w:ascii="Times New Roman" w:hAnsi="Times New Roman"/>
          <w:b/>
          <w:sz w:val="40"/>
          <w:szCs w:val="40"/>
        </w:rPr>
        <w:t>SEN</w:t>
      </w:r>
    </w:p>
    <w:p w14:paraId="142F0ECC" w14:textId="77777777" w:rsidR="001C4073" w:rsidRPr="007F08A5" w:rsidRDefault="007F08A5" w:rsidP="0054103B">
      <w:pPr>
        <w:pStyle w:val="ListParagraph1"/>
        <w:numPr>
          <w:ilvl w:val="3"/>
          <w:numId w:val="1"/>
        </w:numPr>
        <w:spacing w:after="0" w:line="360" w:lineRule="auto"/>
        <w:ind w:left="709"/>
        <w:jc w:val="both"/>
        <w:rPr>
          <w:rFonts w:ascii="Times New Roman" w:hAnsi="Times New Roman"/>
          <w:i/>
          <w:sz w:val="24"/>
          <w:szCs w:val="24"/>
          <w:highlight w:val="yellow"/>
        </w:rPr>
      </w:pPr>
      <w:r w:rsidRPr="007F08A5">
        <w:rPr>
          <w:rFonts w:ascii="Times New Roman" w:hAnsi="Times New Roman"/>
          <w:b/>
          <w:sz w:val="24"/>
          <w:szCs w:val="24"/>
          <w:highlight w:val="yellow"/>
        </w:rPr>
        <w:t>Zaš</w:t>
      </w:r>
      <w:r w:rsidR="0054103B" w:rsidRPr="007F08A5">
        <w:rPr>
          <w:rFonts w:ascii="Times New Roman" w:hAnsi="Times New Roman"/>
          <w:b/>
          <w:sz w:val="24"/>
          <w:szCs w:val="24"/>
          <w:highlight w:val="yellow"/>
        </w:rPr>
        <w:t xml:space="preserve">to je bitno ne gledati na muslimane samo kroz Islam nego i kroz njihove druge </w:t>
      </w:r>
      <w:r w:rsidR="001C4073" w:rsidRPr="007F08A5">
        <w:rPr>
          <w:rFonts w:ascii="Times New Roman" w:hAnsi="Times New Roman"/>
          <w:b/>
          <w:i/>
          <w:sz w:val="24"/>
          <w:szCs w:val="24"/>
          <w:highlight w:val="yellow"/>
        </w:rPr>
        <w:t>veze</w:t>
      </w:r>
      <w:r w:rsidRPr="007F08A5">
        <w:rPr>
          <w:rFonts w:ascii="Times New Roman" w:hAnsi="Times New Roman"/>
          <w:b/>
          <w:sz w:val="24"/>
          <w:szCs w:val="24"/>
          <w:highlight w:val="yellow"/>
        </w:rPr>
        <w:t>?</w:t>
      </w:r>
    </w:p>
    <w:p w14:paraId="5051D9D0" w14:textId="77777777" w:rsidR="0054103B" w:rsidRPr="007F08A5" w:rsidRDefault="0054103B" w:rsidP="001C4073">
      <w:pPr>
        <w:pStyle w:val="ListParagraph1"/>
        <w:spacing w:after="0" w:line="360" w:lineRule="auto"/>
        <w:ind w:left="349" w:firstLine="359"/>
        <w:jc w:val="both"/>
        <w:rPr>
          <w:rFonts w:ascii="Times New Roman" w:hAnsi="Times New Roman"/>
          <w:i/>
          <w:sz w:val="24"/>
          <w:szCs w:val="24"/>
        </w:rPr>
      </w:pPr>
      <w:r w:rsidRPr="007F08A5">
        <w:rPr>
          <w:rFonts w:ascii="Times New Roman" w:hAnsi="Times New Roman"/>
          <w:b/>
          <w:i/>
          <w:sz w:val="24"/>
          <w:szCs w:val="24"/>
        </w:rPr>
        <w:t>1</w:t>
      </w:r>
      <w:r w:rsidRPr="007F08A5">
        <w:rPr>
          <w:rFonts w:ascii="Times New Roman" w:hAnsi="Times New Roman"/>
          <w:i/>
          <w:sz w:val="24"/>
          <w:szCs w:val="24"/>
        </w:rPr>
        <w:t>. bitno je poznavati što se događa</w:t>
      </w:r>
    </w:p>
    <w:p w14:paraId="28F6BF9E" w14:textId="77777777" w:rsidR="0054103B" w:rsidRPr="007F08A5" w:rsidRDefault="0054103B" w:rsidP="0054103B">
      <w:pPr>
        <w:pStyle w:val="ListParagraph1"/>
        <w:spacing w:after="0" w:line="360" w:lineRule="auto"/>
        <w:ind w:left="709"/>
        <w:jc w:val="both"/>
        <w:rPr>
          <w:rFonts w:ascii="Times New Roman" w:hAnsi="Times New Roman"/>
          <w:i/>
          <w:sz w:val="24"/>
          <w:szCs w:val="24"/>
        </w:rPr>
      </w:pPr>
      <w:r w:rsidRPr="007F08A5">
        <w:rPr>
          <w:rFonts w:ascii="Times New Roman" w:hAnsi="Times New Roman"/>
          <w:i/>
          <w:sz w:val="24"/>
          <w:szCs w:val="24"/>
        </w:rPr>
        <w:t>2. razlikovanje je važno u borbi protiv politiziranja religije</w:t>
      </w:r>
    </w:p>
    <w:p w14:paraId="1CA374C1" w14:textId="77777777" w:rsidR="0054103B" w:rsidRPr="007F08A5" w:rsidRDefault="0054103B" w:rsidP="0054103B">
      <w:pPr>
        <w:pStyle w:val="ListParagraph1"/>
        <w:spacing w:after="0" w:line="360" w:lineRule="auto"/>
        <w:ind w:left="709"/>
        <w:jc w:val="both"/>
        <w:rPr>
          <w:rFonts w:ascii="Times New Roman" w:hAnsi="Times New Roman"/>
          <w:i/>
          <w:sz w:val="24"/>
          <w:szCs w:val="24"/>
        </w:rPr>
      </w:pPr>
      <w:r w:rsidRPr="007F08A5">
        <w:rPr>
          <w:rFonts w:ascii="Times New Roman" w:hAnsi="Times New Roman"/>
          <w:b/>
          <w:i/>
          <w:sz w:val="24"/>
          <w:szCs w:val="24"/>
        </w:rPr>
        <w:t>3</w:t>
      </w:r>
      <w:r w:rsidRPr="007F08A5">
        <w:rPr>
          <w:rFonts w:ascii="Times New Roman" w:hAnsi="Times New Roman"/>
          <w:i/>
          <w:sz w:val="24"/>
          <w:szCs w:val="24"/>
        </w:rPr>
        <w:t>. razlikovanje nam dopušta da bolje shvatimo što se događa unutar zemalja koje stranci stavljaju u određenu religijsku kulturu</w:t>
      </w:r>
    </w:p>
    <w:p w14:paraId="6B4EE92F" w14:textId="77777777" w:rsidR="0054103B" w:rsidRPr="007F08A5" w:rsidRDefault="0054103B" w:rsidP="0054103B">
      <w:pPr>
        <w:pStyle w:val="ListParagraph1"/>
        <w:spacing w:after="0" w:line="360" w:lineRule="auto"/>
        <w:ind w:left="709"/>
        <w:jc w:val="both"/>
        <w:rPr>
          <w:rFonts w:ascii="Times New Roman" w:hAnsi="Times New Roman"/>
          <w:i/>
          <w:sz w:val="24"/>
          <w:szCs w:val="24"/>
        </w:rPr>
      </w:pPr>
      <w:r w:rsidRPr="007F08A5">
        <w:rPr>
          <w:rFonts w:ascii="Times New Roman" w:hAnsi="Times New Roman"/>
          <w:i/>
          <w:sz w:val="24"/>
          <w:szCs w:val="24"/>
        </w:rPr>
        <w:t>4. naglašavanje važnosti razlikovanja je da se ono ne propušta u borbi protiv terorizma</w:t>
      </w:r>
    </w:p>
    <w:p w14:paraId="4B3FE115"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Religija pojedinca ne mora biti isključivi identitet te osobe. Islam kao religija ne brani odgovoran izbor muslimana u drugim sferama života. Moguće je da jedan musliman zauzme kritički pogled na nešto, a drugi bude posve tolerantan, a da nijedan ne prestane biti muslimanom iz tog razloga. Neuspješno se razlikuje islamska povijest od povijesti muslimanskoga naroda. Pobornici islamskog fundamentalizma žele potisnuti sve druge identitete muslimana u korist samo islamskog. Oni koji žele prevladati sukobe povezane s islamskim fundamentalizma isto tako nisu u stanju vidjeti muslimanski narod nikako drugačije nego kao pripadnike islama-to je povezano s pokušajima redefiniranja islama. Ljudi sebe doživljavaju na mnogo različitih načina – npr. musliman iz Bangladeša nije samo musliman već i Bengalac i stanovnik Bangladeša.</w:t>
      </w:r>
    </w:p>
    <w:p w14:paraId="45373A37"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komplementarni i nekomplementarni identitet</w:t>
      </w:r>
    </w:p>
    <w:p w14:paraId="7860A911"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 xml:space="preserve">Različite skupine mogu pripadati istoj kategoriji koja se bavi istom vrsta pripadnosti ili različitim kategorijama. U prvom slučaju postoji neki kontrast među različitim skupinama iste kategorije i prema tome među različitim identitetima s kojima su povezani. Iako NEKOMPLEMENTARNI IDENTITETI nisu umješani ni u kakav teritorijalni sukob što se tiče pripadanja, oni mogu međusobno konkurirati za našu pažnju i prioritete. Kada se mora jedno ili drugo, privrženosti se mogu sukobiti zbog davanja prioriteta recimo rasi, religiji, i sl. Možemo imati mnogostruke identitete čak i unutar KOMPLEMENTARNIH KATEGORIJA npr. jedno je državljanstvo u opreci s drugim u identitetu osobe. Komplementarni identiteti ne moraju zahtjevati da jedna i samo jedna jedinstvena specifičnost može preživjeti, svrgnavajući sve ostale alternative. (npr. osoba može imati i dvojno državljanstvo). Čak i kada se inzistira na ekskluzivnosti, sukob dvojne privrženosti ne mora nestati. NPR. Ako japanska državljanka s prebivalištem u Velikoj Britaniji ne želi prihvatiti britansko državljanstvo kako ne bi izgubila japanski nacionalni identitet, ona i dalje može osjećati snažnu odanost svom </w:t>
      </w:r>
      <w:r w:rsidRPr="007F08A5">
        <w:rPr>
          <w:rFonts w:ascii="Times New Roman" w:hAnsi="Times New Roman"/>
          <w:sz w:val="24"/>
          <w:szCs w:val="24"/>
        </w:rPr>
        <w:lastRenderedPageBreak/>
        <w:t>britanskom identitetu. OSOBA NE MORA ZANIJEKATI JEDAN IDENTITET KAKO BI DALA PREDNOST DRUGOM, VEĆ OSOBA S MNOGOSTRUKIM IDENTITETIMA MORA U SLUČAJU SUKOBA ODLUČITI O RELATIVNOJ VAŽNOSTI IDENTITETA ZBOG POSEBNE ODLUKE O KOJOJ SE RADI.</w:t>
      </w:r>
    </w:p>
    <w:p w14:paraId="766B2052"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komunitaristički identitet</w:t>
      </w:r>
    </w:p>
    <w:p w14:paraId="1DFF93D6"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 xml:space="preserve">Neke verzije komunitarističkog mišljenja pretpostavljaju kako nečiji identitet s nekom zajednicom mora biti glavni ili dominantan – jedini značajan – identitet koji osoba posjeduje. Ovaj zaključak može biti povezan s dva argumenta. Prvi zagovara da osoba </w:t>
      </w:r>
      <w:r w:rsidRPr="007F08A5">
        <w:rPr>
          <w:rFonts w:ascii="Times New Roman" w:hAnsi="Times New Roman"/>
          <w:b/>
          <w:sz w:val="24"/>
          <w:szCs w:val="24"/>
        </w:rPr>
        <w:t>nema pristupa</w:t>
      </w:r>
      <w:r w:rsidRPr="007F08A5">
        <w:rPr>
          <w:rFonts w:ascii="Times New Roman" w:hAnsi="Times New Roman"/>
          <w:sz w:val="24"/>
          <w:szCs w:val="24"/>
        </w:rPr>
        <w:t xml:space="preserve"> drugim predodžbama o identitetu i drugim načinima doživljavanja identiteta, neovisnima o zajednici. Njezino socijalno podrijetlo, čvrsto temeljeno na „zajednici i kulturi“, određuje moguće obrasce mišljenja i etike koji su joj dostupni.</w:t>
      </w:r>
    </w:p>
    <w:p w14:paraId="50959744"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Drugi argument ne pridružuje zaključak perceptivnim ograničenjima, već tvrdi kako je komunitaristički identitet od goleme važnosti, u slučaju bilo kakvog uspoređivanja.</w:t>
      </w:r>
    </w:p>
    <w:p w14:paraId="5605BB21"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Koreja i Gana</w:t>
      </w:r>
    </w:p>
    <w:p w14:paraId="76B8EA5F"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Hungtington je naišao na gospodarske podatke o Gani i Južnoj Koreji iz ranih 1960-ih te bio iznenađen koliko su njihova gospodarstva bila slična.</w:t>
      </w:r>
    </w:p>
    <w:p w14:paraId="143DA3BA"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Trideset godina kasnije Južna Koreja je postala industrijski div, dok se u Gani ništa drastično nije promijenilo. Hungtington temeljem tog istraživanja tvrdi kako se odgovor većim djelom  krije u kulturi. Korejci su cijenili štedljivost, ulaganje, naporan rad, obrazovanje, disciplinu. Stanovnici Gane imali su drukčije vrijednosti.</w:t>
      </w:r>
    </w:p>
    <w:p w14:paraId="73F6B2F3"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Sen tvrdi da je Hungtingtonova priča prilično varljiva. Bilo je mnogo važnih razlika između Gane i Koreje 1960-ih:</w:t>
      </w:r>
    </w:p>
    <w:p w14:paraId="33AAA3B3" w14:textId="77777777" w:rsidR="0054103B" w:rsidRPr="007F08A5" w:rsidRDefault="0054103B" w:rsidP="0054103B">
      <w:pPr>
        <w:pStyle w:val="ListParagraph1"/>
        <w:spacing w:after="0" w:line="360" w:lineRule="auto"/>
        <w:ind w:left="709"/>
        <w:jc w:val="both"/>
        <w:rPr>
          <w:rFonts w:ascii="Times New Roman" w:hAnsi="Times New Roman"/>
          <w:sz w:val="24"/>
          <w:szCs w:val="24"/>
        </w:rPr>
      </w:pPr>
      <w:r w:rsidRPr="007F08A5">
        <w:rPr>
          <w:rFonts w:ascii="Times New Roman" w:hAnsi="Times New Roman"/>
          <w:sz w:val="24"/>
          <w:szCs w:val="24"/>
        </w:rPr>
        <w:t>-Strukture klasa tih dviju zemalja bile su vrlo drukčije, s mnogo većom i proaktivnijom ulogom poslovnih klasa u Južnoj Koreji</w:t>
      </w:r>
    </w:p>
    <w:p w14:paraId="0998AF6E" w14:textId="77777777" w:rsidR="0054103B" w:rsidRPr="007F08A5" w:rsidRDefault="0054103B" w:rsidP="0054103B">
      <w:pPr>
        <w:pStyle w:val="ListParagraph1"/>
        <w:spacing w:after="0" w:line="360" w:lineRule="auto"/>
        <w:ind w:left="709"/>
        <w:jc w:val="both"/>
        <w:rPr>
          <w:rFonts w:ascii="Times New Roman" w:hAnsi="Times New Roman"/>
          <w:sz w:val="24"/>
          <w:szCs w:val="24"/>
        </w:rPr>
      </w:pPr>
      <w:r w:rsidRPr="007F08A5">
        <w:rPr>
          <w:rFonts w:ascii="Times New Roman" w:hAnsi="Times New Roman"/>
          <w:sz w:val="24"/>
          <w:szCs w:val="24"/>
        </w:rPr>
        <w:t>- Politika je bila također vrlo drugačija, budući da je Vlada Južne Koreje bila voljna i željna poticajne uloge pri uvođenju ekonomskog razvoja usredotočenog na poslovanje, što je bio slučaj u Gani</w:t>
      </w:r>
    </w:p>
    <w:p w14:paraId="79831640" w14:textId="77777777" w:rsidR="0054103B" w:rsidRPr="007F08A5" w:rsidRDefault="0054103B" w:rsidP="0054103B">
      <w:pPr>
        <w:pStyle w:val="ListParagraph1"/>
        <w:spacing w:after="0" w:line="360" w:lineRule="auto"/>
        <w:ind w:left="709"/>
        <w:jc w:val="both"/>
        <w:rPr>
          <w:rFonts w:ascii="Times New Roman" w:hAnsi="Times New Roman"/>
          <w:sz w:val="24"/>
          <w:szCs w:val="24"/>
        </w:rPr>
      </w:pPr>
      <w:r w:rsidRPr="007F08A5">
        <w:rPr>
          <w:rFonts w:ascii="Times New Roman" w:hAnsi="Times New Roman"/>
          <w:sz w:val="24"/>
          <w:szCs w:val="24"/>
        </w:rPr>
        <w:t>- Bliski odnosi korejskog i japanskog gospodarstva, s jedne strane, i Sjedinjenih Država, s druge, bilo je od velikog značaja, barem u početnim fazama korejske gospodarske ekspanzije</w:t>
      </w:r>
    </w:p>
    <w:p w14:paraId="284B2839" w14:textId="77777777" w:rsidR="0054103B" w:rsidRPr="007F08A5" w:rsidRDefault="0054103B" w:rsidP="0054103B">
      <w:pPr>
        <w:pStyle w:val="ListParagraph1"/>
        <w:spacing w:after="0" w:line="360" w:lineRule="auto"/>
        <w:ind w:left="709"/>
        <w:jc w:val="both"/>
        <w:rPr>
          <w:rFonts w:ascii="Times New Roman" w:hAnsi="Times New Roman"/>
          <w:sz w:val="24"/>
          <w:szCs w:val="24"/>
        </w:rPr>
      </w:pPr>
      <w:r w:rsidRPr="007F08A5">
        <w:rPr>
          <w:rFonts w:ascii="Times New Roman" w:hAnsi="Times New Roman"/>
          <w:sz w:val="24"/>
          <w:szCs w:val="24"/>
        </w:rPr>
        <w:t xml:space="preserve">- I možda najvažnije – 1960-ih Južna Koreja je postigla mnogo veću stopu pismenosti i mnogi razvijeniji sustav školovanja od Gane. Korejski napredak u školskom obrazovanju velikim je djelom postignut u razdoblju nakon Drugog svjetskog rata, </w:t>
      </w:r>
      <w:r w:rsidRPr="007F08A5">
        <w:rPr>
          <w:rFonts w:ascii="Times New Roman" w:hAnsi="Times New Roman"/>
          <w:sz w:val="24"/>
          <w:szCs w:val="24"/>
        </w:rPr>
        <w:lastRenderedPageBreak/>
        <w:t>uglavnom kroz odlučnu javnu politiku i nije se mogao smatrati samo kao odraz kulture.</w:t>
      </w:r>
    </w:p>
    <w:p w14:paraId="44A326D0"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Na temelju površnog istraživanja koje podupire Hungtingtonov zaključak, teško je opravdati bilo kulturalni trijumfalizam u korist korejske kulture ili radikalni pesimizam oko budućnosti Gane do kojih Hungtington dolazi oslanjajući se na kulturni determinizam. Kulturni faktori ne djeluju izolirani od društvenih, političkih i ekonomskih utjecaja, niti su nepromjenjivi.</w:t>
      </w:r>
    </w:p>
    <w:p w14:paraId="0FFA5131"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Globalizacija</w:t>
      </w:r>
    </w:p>
    <w:p w14:paraId="3EF35E6D"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Ljudi diljem svijeta zabrinuti su oko stanja i zagovaraju se za bolje uvjete za siromašne i zapostavljene. Demonstranti pokušavaju zajednički prosvjedovati protiv onog za što smatraju da je velika nemoralnost ili nepravda koja muči ljude u svijetu. Globalno nezadovoljstvo kojem prosvjedne grupe daju izraz može se smatrati dokazom postojanja osjećaja o globalnom identitetu i nekih zabrinutosti oko globalne etike. Svijest o opsežnom identitetu koji je temelj tih zabrinutosti nadilazi granice nacionalnosti, kulture, zajednice i religije. Tzv. antiglobalizacijska kritika je možda najglobaliziraniji moralni pokret danas.</w:t>
      </w:r>
    </w:p>
    <w:p w14:paraId="0F0653E2"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ograničenje i sloboda</w:t>
      </w:r>
    </w:p>
    <w:p w14:paraId="0627BE39"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Osoba ustvari stalno odlučuje, barem implicitno, o prioritetima koji bi se pripisali našim različitim vezama i udruženjima. Sloboda da odlučujemo o našoj privrženosti i prioritetima među različitim skupinama kojima pripadamo posebno je važna sloboda i s razlogom je priznajemo, cijenimo i branimo. Postojanjem izbora ne znači da ne postoje ograničenja koja smanjuju izbor. Uvijek izabiremo unutar granica koje nam se čine mogućima. Izvedivost u slučaju identiteta ovisit će o individualnim karakteristikama i okolnostima koje određuju ostale mogućnosti koje su nam otvorene. To nije neobična činjenica, već samo način na koji se zapravo postupa sa svakim izborom u bilo kojem području. Ništa nije osnovnije i više univerzalno od činjenice da se izbori svih vrsta u svakom području donose unutar određenih granica.</w:t>
      </w:r>
    </w:p>
    <w:p w14:paraId="01B66A31"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civilizacijsko utamničenje</w:t>
      </w:r>
    </w:p>
    <w:p w14:paraId="19420D56" w14:textId="77777777" w:rsidR="0054103B" w:rsidRPr="007F08A5" w:rsidRDefault="0054103B" w:rsidP="0054103B">
      <w:pPr>
        <w:pStyle w:val="ListParagraph1"/>
        <w:tabs>
          <w:tab w:val="left" w:pos="426"/>
        </w:tabs>
        <w:spacing w:after="0" w:line="360" w:lineRule="auto"/>
        <w:ind w:left="0"/>
        <w:jc w:val="both"/>
        <w:rPr>
          <w:rFonts w:ascii="Times New Roman" w:hAnsi="Times New Roman"/>
          <w:sz w:val="24"/>
          <w:szCs w:val="24"/>
        </w:rPr>
      </w:pPr>
      <w:r w:rsidRPr="007F08A5">
        <w:rPr>
          <w:rFonts w:ascii="Times New Roman" w:hAnsi="Times New Roman"/>
          <w:sz w:val="24"/>
          <w:szCs w:val="24"/>
        </w:rPr>
        <w:t>Teza civilizacijskog sukoba koncepcijski je parazitska s obzirom na superiornu moć jedinstvene kategorizacije uzduž takozvanih civilizacijskih linija, što je slučajno posljedica religijskih podjela kojima je posvećena posebna pažnja. U podjeli svjetske populacije na one koji pripadaju islamskom svijetu, zapadnom svijetu, hinduističkom svijetu, budističkom svijetu, razdvajajuća moć klasifikacijskog prvenstva bezuvjetno se koristi kako bi se odlučno stavilo ljude unutar jedinstvene grupe strogih kutija. Ostale raspodjele – npr. Na bogate i siromašne, na pripadnike različitih klasa i zanimanja, na ljude različitih političkih uvjerenja, … - sve su potopljene ovim navodnim temeljnim načinom poimanja razlika među ljudima.</w:t>
      </w:r>
    </w:p>
    <w:p w14:paraId="476467DE"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lastRenderedPageBreak/>
        <w:t>zapadna znanost i svjetska povijest</w:t>
      </w:r>
    </w:p>
    <w:p w14:paraId="5DD7F116"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Zapadna znanost koristi svjetsko nasljeđe. Postoji niz intelektualnih veza koje povezuju zapadnju matematiku i znanost s grupom izrazito ne-zapadnih praktičara. Npr. decimalni sustav koji se razvio u Indiji u prvim stoljećima prvog tisućljeća stigao je u Europu krajem tog tisućljeća preko Arapa. Velika skupina pridonositelja iz različitih ne-zapadnih društava-Kinezi, Arapi, Iranci i dr.- utjecala je na znanost, matematiku i filozofiju koji su odigrali veliku ulogu u europskoj renesansi i kasnije prosvjetiteljstvu. Nije samo da procvat svjetske znanosti i tehnologije nije isključivo fenomen vođen Zapadom, nego je bilo velikih globalnih napredaka u svijetu koji su uključivali opsežne međunarodne sustrete daleko od Europe. Zapadu se u potpunosti mora priznati zasluga za velika dostignuća koja su se pojavila u zapadnom svijetu tijekom renesanse, prosvjetiteljstva i industrijske revolucije, koji su promijenili prirodu ljudske civilizacije. Ali tvrdnja da je sve ovo rezultat cvjetanja odijeljene „zapadne civilizacije“ koja se razvijala u veličanstvenoj izolaciji, bila bi velika iluzija.</w:t>
      </w:r>
    </w:p>
    <w:p w14:paraId="214B469D" w14:textId="77777777" w:rsidR="0054103B" w:rsidRPr="007F08A5" w:rsidRDefault="0054103B" w:rsidP="0054103B">
      <w:pPr>
        <w:pStyle w:val="ListParagraph1"/>
        <w:numPr>
          <w:ilvl w:val="3"/>
          <w:numId w:val="1"/>
        </w:numPr>
        <w:spacing w:after="0" w:line="360" w:lineRule="auto"/>
        <w:ind w:left="709"/>
        <w:jc w:val="both"/>
        <w:rPr>
          <w:rFonts w:ascii="Times New Roman" w:hAnsi="Times New Roman"/>
          <w:b/>
          <w:sz w:val="24"/>
          <w:szCs w:val="24"/>
          <w:highlight w:val="yellow"/>
        </w:rPr>
      </w:pPr>
      <w:r w:rsidRPr="007F08A5">
        <w:rPr>
          <w:rFonts w:ascii="Times New Roman" w:hAnsi="Times New Roman"/>
          <w:b/>
          <w:sz w:val="24"/>
          <w:szCs w:val="24"/>
          <w:highlight w:val="yellow"/>
        </w:rPr>
        <w:t>vjerski identitet i kulturne varijacije</w:t>
      </w:r>
    </w:p>
    <w:p w14:paraId="0E05D15D"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Osobe koje pripadaju istoj religiji mogu se itekako razlikovati u socijalnom ponašanju, pa i kad se radi i o područjima za koja se često misli da su usko povezana s religijom. To je lako objasniti u suvremenom svijetu, uspoređivanjem tipičnih običaja tradicionalističkih seoskih žena npr. u Saudijskoj Arabiji s običajima muslimanskih žena u urbanoj Turskoj (u Turskoj su feredže rijetke, a stil odijevanja sličan je europskom).Ove se razlike ne smiju gledati jednostavno kao obilježja novog fenomena kojeg je moderno vrijeme donijelo muslimanima.</w:t>
      </w:r>
    </w:p>
    <w:p w14:paraId="31379243" w14:textId="77777777" w:rsidR="0054103B" w:rsidRPr="007F08A5" w:rsidRDefault="0054103B" w:rsidP="0054103B">
      <w:pPr>
        <w:pStyle w:val="ListParagraph1"/>
        <w:spacing w:after="0" w:line="360" w:lineRule="auto"/>
        <w:ind w:left="360"/>
        <w:jc w:val="both"/>
        <w:rPr>
          <w:rFonts w:ascii="Times New Roman" w:hAnsi="Times New Roman"/>
          <w:b/>
          <w:sz w:val="24"/>
          <w:szCs w:val="24"/>
        </w:rPr>
      </w:pPr>
      <w:r w:rsidRPr="007F08A5">
        <w:rPr>
          <w:rFonts w:ascii="Times New Roman" w:hAnsi="Times New Roman"/>
          <w:b/>
          <w:sz w:val="24"/>
          <w:szCs w:val="24"/>
          <w:highlight w:val="yellow"/>
        </w:rPr>
        <w:t>10. KULTURNA SLOBODA</w:t>
      </w:r>
    </w:p>
    <w:p w14:paraId="71E073CB"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Ideja o kulturnoj slobodi fokusira se na našu slobodu kako bi očuvala i promijenila naše prioritete – na temelju našeg znanja ili dodatnog razmišljanja ili vezano uz to, na temelju našeg ocjenjivanja promjenjivih običaja i načina -, od štovanja kulturnog očuvanja, koje je postalo veliko pitanje u retorici multikulturalizma – često podupire nove imigrante na Zapadu da nastave s tradicionalnim stilom života - . Bez sumnje postoji jaki argument za uključivanje kulturne slobode među ljudske sposobnosti koje imaju razlog cijeniti, ali također postoji potreba za temeljitim ispitivanjem točne veze između kulturne slobode i prioriteta multikulturalizma.</w:t>
      </w:r>
    </w:p>
    <w:p w14:paraId="65E7BE5E" w14:textId="77777777" w:rsidR="0054103B" w:rsidRPr="007F08A5" w:rsidRDefault="0054103B" w:rsidP="0054103B">
      <w:pPr>
        <w:pStyle w:val="ListParagraph1"/>
        <w:spacing w:after="0" w:line="360" w:lineRule="auto"/>
        <w:ind w:left="0"/>
        <w:jc w:val="both"/>
        <w:rPr>
          <w:rFonts w:ascii="Times New Roman" w:hAnsi="Times New Roman"/>
          <w:b/>
          <w:sz w:val="24"/>
          <w:szCs w:val="24"/>
        </w:rPr>
      </w:pPr>
      <w:r w:rsidRPr="007F08A5">
        <w:rPr>
          <w:rFonts w:ascii="Times New Roman" w:hAnsi="Times New Roman"/>
          <w:b/>
          <w:sz w:val="24"/>
          <w:szCs w:val="24"/>
          <w:highlight w:val="yellow"/>
        </w:rPr>
        <w:t>19. JAPANSKO ISKUSTVO</w:t>
      </w:r>
    </w:p>
    <w:p w14:paraId="3E915C50"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 xml:space="preserve">Cjelokupno iskustvo gospodarskog razvoja Japana bilo je nagnano oblikovanjem ljudske sposobnosti, koja je uključivala ulogu obrazovanja i školovanja, a to su podržavali i javna politika i ohrabrujuća kulturološka klima – koje su međusobno djelovale - . Dinamika asocijacijskih odnosa iznimno je važna za razumijevanje kako je Japan postavio temelje </w:t>
      </w:r>
      <w:r w:rsidRPr="007F08A5">
        <w:rPr>
          <w:rFonts w:ascii="Times New Roman" w:hAnsi="Times New Roman"/>
          <w:sz w:val="24"/>
          <w:szCs w:val="24"/>
        </w:rPr>
        <w:lastRenderedPageBreak/>
        <w:t>svojeg impresivnog gospodarstva i društvenog razvoja. Japan, ne samo da je bio učenik, već je bio i izvrstan učitelj. Na razvojna nastojanja zemalja istočne i jugoistočne Azije duboko je utjecalo iskustvo Japana u širenju obrazovanja i njegov očiti uspjeh preobrazbe društva i gospodarstva. Takozvano istočnoazijsko čudo bilo je, postignuće inspirirano iskustvom Japana.</w:t>
      </w:r>
    </w:p>
    <w:p w14:paraId="372B92A5"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Poklanjanje pažnje kulturnim međusobnim odnosima  može biti koristan način unapređivanja našeg razumijevanja razvoja i promjene. Razlikovalo bi se i od zanemarivanja kulture uopće i od davanja povlastice kulturi kao nezavisnoj i stacionarnoj sili, s nepromjenjivom prisutnošću i nesavladivim učinkom. Iluzija kulturne sudbine ne samo da obmanjuje, već može i značajno oslabiti, budući da se može proizvesti osjećaj fatalizma i pomirenja sa sudbinom među ljudima koji su u nepovoljnom položaju.</w:t>
      </w:r>
    </w:p>
    <w:p w14:paraId="0A387EAF" w14:textId="77777777" w:rsidR="0054103B" w:rsidRPr="007F08A5" w:rsidRDefault="0054103B" w:rsidP="0054103B">
      <w:pPr>
        <w:pStyle w:val="ListParagraph1"/>
        <w:spacing w:after="0" w:line="360" w:lineRule="auto"/>
        <w:ind w:left="0"/>
        <w:jc w:val="both"/>
        <w:rPr>
          <w:rFonts w:ascii="Times New Roman" w:hAnsi="Times New Roman"/>
          <w:b/>
          <w:sz w:val="24"/>
          <w:szCs w:val="24"/>
        </w:rPr>
      </w:pPr>
      <w:r w:rsidRPr="007F08A5">
        <w:rPr>
          <w:rFonts w:ascii="Times New Roman" w:hAnsi="Times New Roman"/>
          <w:b/>
          <w:sz w:val="24"/>
          <w:szCs w:val="24"/>
          <w:highlight w:val="yellow"/>
        </w:rPr>
        <w:t>20. JE LI PRAVEDNO GLOBALNO UREĐENJE MOGUĆE, A DA SE NE MJENJA GLOBALNO GOSPODARSTVO I DRUŠTVENI ODNOSI</w:t>
      </w:r>
    </w:p>
    <w:p w14:paraId="75FD4442"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Problem pravednosti u svijetu različitih skupina i disparatnih identiteta zahtjeva dublje razumijevanje. Kada postoje dobici od suradnje, može biti mnogo alternativnih dogovora od kojih svaka strana ima korist u usporedbi s nedostatkom suradnje. Raspodjela koristi može naširoko varirati unatoč potrebi za suradnjom. Možda postoje veliki dobici kod uspostavljanja nove industrije, ali i dalje ostaje problem podjele dobiti među radnicima, kapitalistima, prodavačima sirovina, kupcima proizvedenog i onima koji neizravno imaju koristi od povećanja dohotka mjesta o kojem se radi. Podjele o kojima je riječ ovisile bi o relativnim cijenama, nadnicama i drugim gospodarskim parametrima koji bi uređivali razmjenu i proizvodnju.</w:t>
      </w:r>
    </w:p>
    <w:p w14:paraId="1CB4CC25" w14:textId="77777777" w:rsidR="0054103B" w:rsidRPr="007F08A5" w:rsidRDefault="0054103B" w:rsidP="0054103B">
      <w:pPr>
        <w:spacing w:after="0" w:line="360" w:lineRule="auto"/>
        <w:jc w:val="both"/>
        <w:rPr>
          <w:rFonts w:ascii="Times New Roman" w:hAnsi="Times New Roman"/>
          <w:b/>
          <w:sz w:val="24"/>
          <w:szCs w:val="24"/>
        </w:rPr>
      </w:pPr>
    </w:p>
    <w:p w14:paraId="0F8E62D0" w14:textId="77777777" w:rsidR="007F08A5" w:rsidRPr="007F08A5" w:rsidRDefault="007F08A5" w:rsidP="0054103B">
      <w:pPr>
        <w:spacing w:after="0" w:line="360" w:lineRule="auto"/>
        <w:jc w:val="both"/>
        <w:rPr>
          <w:rFonts w:ascii="Times New Roman" w:hAnsi="Times New Roman"/>
          <w:b/>
          <w:sz w:val="24"/>
          <w:szCs w:val="24"/>
        </w:rPr>
      </w:pPr>
    </w:p>
    <w:p w14:paraId="7F2AC17E" w14:textId="77777777" w:rsidR="007F08A5" w:rsidRPr="007F08A5" w:rsidRDefault="007F08A5" w:rsidP="0054103B">
      <w:pPr>
        <w:spacing w:after="0" w:line="360" w:lineRule="auto"/>
        <w:jc w:val="both"/>
        <w:rPr>
          <w:rFonts w:ascii="Times New Roman" w:hAnsi="Times New Roman"/>
          <w:b/>
          <w:sz w:val="24"/>
          <w:szCs w:val="24"/>
        </w:rPr>
      </w:pPr>
    </w:p>
    <w:p w14:paraId="13488BF6" w14:textId="77777777" w:rsidR="007F08A5" w:rsidRDefault="007F08A5" w:rsidP="007F08A5">
      <w:pPr>
        <w:spacing w:after="0" w:line="360" w:lineRule="auto"/>
        <w:jc w:val="center"/>
        <w:rPr>
          <w:rFonts w:ascii="Times New Roman" w:hAnsi="Times New Roman"/>
          <w:b/>
          <w:sz w:val="32"/>
          <w:szCs w:val="32"/>
          <w:highlight w:val="yellow"/>
        </w:rPr>
      </w:pPr>
    </w:p>
    <w:p w14:paraId="0433A0B3" w14:textId="77777777" w:rsidR="007F08A5" w:rsidRDefault="007F08A5" w:rsidP="007F08A5">
      <w:pPr>
        <w:spacing w:after="0" w:line="360" w:lineRule="auto"/>
        <w:jc w:val="center"/>
        <w:rPr>
          <w:rFonts w:ascii="Times New Roman" w:hAnsi="Times New Roman"/>
          <w:b/>
          <w:sz w:val="32"/>
          <w:szCs w:val="32"/>
          <w:highlight w:val="yellow"/>
        </w:rPr>
      </w:pPr>
    </w:p>
    <w:p w14:paraId="0F92C4AE" w14:textId="77777777" w:rsidR="007F08A5" w:rsidRDefault="007F08A5" w:rsidP="007F08A5">
      <w:pPr>
        <w:spacing w:after="0" w:line="360" w:lineRule="auto"/>
        <w:jc w:val="center"/>
        <w:rPr>
          <w:rFonts w:ascii="Times New Roman" w:hAnsi="Times New Roman"/>
          <w:b/>
          <w:sz w:val="32"/>
          <w:szCs w:val="32"/>
          <w:highlight w:val="yellow"/>
        </w:rPr>
      </w:pPr>
    </w:p>
    <w:p w14:paraId="41000DB5" w14:textId="77777777" w:rsidR="007F08A5" w:rsidRDefault="007F08A5" w:rsidP="007F08A5">
      <w:pPr>
        <w:spacing w:after="0" w:line="360" w:lineRule="auto"/>
        <w:jc w:val="center"/>
        <w:rPr>
          <w:rFonts w:ascii="Times New Roman" w:hAnsi="Times New Roman"/>
          <w:b/>
          <w:sz w:val="32"/>
          <w:szCs w:val="32"/>
          <w:highlight w:val="yellow"/>
        </w:rPr>
      </w:pPr>
    </w:p>
    <w:p w14:paraId="1A1F1CFA" w14:textId="77777777" w:rsidR="007F08A5" w:rsidRDefault="007F08A5" w:rsidP="007F08A5">
      <w:pPr>
        <w:spacing w:after="0" w:line="360" w:lineRule="auto"/>
        <w:jc w:val="center"/>
        <w:rPr>
          <w:rFonts w:ascii="Times New Roman" w:hAnsi="Times New Roman"/>
          <w:b/>
          <w:sz w:val="32"/>
          <w:szCs w:val="32"/>
          <w:highlight w:val="yellow"/>
        </w:rPr>
      </w:pPr>
    </w:p>
    <w:p w14:paraId="6D36C5C2" w14:textId="77777777" w:rsidR="007F08A5" w:rsidRDefault="007F08A5" w:rsidP="007F08A5">
      <w:pPr>
        <w:spacing w:after="0" w:line="360" w:lineRule="auto"/>
        <w:jc w:val="center"/>
        <w:rPr>
          <w:rFonts w:ascii="Times New Roman" w:hAnsi="Times New Roman"/>
          <w:b/>
          <w:sz w:val="32"/>
          <w:szCs w:val="32"/>
          <w:highlight w:val="yellow"/>
        </w:rPr>
      </w:pPr>
    </w:p>
    <w:p w14:paraId="40B3465C" w14:textId="77777777" w:rsidR="0054103B" w:rsidRPr="007F08A5" w:rsidRDefault="0054103B" w:rsidP="007F08A5">
      <w:pPr>
        <w:spacing w:after="0" w:line="360" w:lineRule="auto"/>
        <w:jc w:val="center"/>
        <w:rPr>
          <w:rFonts w:ascii="Times New Roman" w:hAnsi="Times New Roman"/>
          <w:b/>
          <w:sz w:val="40"/>
          <w:szCs w:val="40"/>
        </w:rPr>
      </w:pPr>
      <w:r w:rsidRPr="007F08A5">
        <w:rPr>
          <w:rFonts w:ascii="Times New Roman" w:hAnsi="Times New Roman"/>
          <w:b/>
          <w:sz w:val="40"/>
          <w:szCs w:val="40"/>
        </w:rPr>
        <w:lastRenderedPageBreak/>
        <w:t>Deontologija</w:t>
      </w:r>
    </w:p>
    <w:p w14:paraId="0CC38A6E" w14:textId="77777777" w:rsidR="0054103B" w:rsidRPr="007F08A5" w:rsidRDefault="0054103B" w:rsidP="0054103B">
      <w:pPr>
        <w:pStyle w:val="ListParagraph1"/>
        <w:numPr>
          <w:ilvl w:val="0"/>
          <w:numId w:val="2"/>
        </w:numPr>
        <w:spacing w:after="0" w:line="360" w:lineRule="auto"/>
        <w:ind w:left="720"/>
        <w:jc w:val="both"/>
        <w:rPr>
          <w:rFonts w:ascii="Times New Roman" w:hAnsi="Times New Roman"/>
          <w:b/>
          <w:sz w:val="24"/>
          <w:szCs w:val="24"/>
          <w:highlight w:val="yellow"/>
        </w:rPr>
      </w:pPr>
      <w:r w:rsidRPr="007F08A5">
        <w:rPr>
          <w:rFonts w:ascii="Times New Roman" w:hAnsi="Times New Roman"/>
          <w:b/>
          <w:sz w:val="24"/>
          <w:szCs w:val="24"/>
          <w:highlight w:val="yellow"/>
        </w:rPr>
        <w:t>Objasni neznanje kao neopravdanu kritiku</w:t>
      </w:r>
    </w:p>
    <w:p w14:paraId="6A5475A5"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Ta se negativna prepreka može lako izbrisati. Svi živi čuli su za deontologiju, ali – u okvirima medija, jednako kao i izvan njih- većina ljudi jednostavno nikad nije čula za različite sisteme kontrole kvalitete koji su smišljeni i iskušani i čija je bezazlenost i učinkovitost dokazana.</w:t>
      </w:r>
    </w:p>
    <w:p w14:paraId="7738CA86" w14:textId="77777777" w:rsidR="0054103B" w:rsidRPr="007F08A5" w:rsidRDefault="0054103B" w:rsidP="0054103B">
      <w:pPr>
        <w:pStyle w:val="ListParagraph1"/>
        <w:numPr>
          <w:ilvl w:val="0"/>
          <w:numId w:val="2"/>
        </w:numPr>
        <w:spacing w:after="0" w:line="360" w:lineRule="auto"/>
        <w:jc w:val="both"/>
        <w:rPr>
          <w:rFonts w:ascii="Times New Roman" w:hAnsi="Times New Roman"/>
          <w:b/>
          <w:sz w:val="24"/>
          <w:szCs w:val="24"/>
          <w:highlight w:val="yellow"/>
        </w:rPr>
      </w:pPr>
      <w:r w:rsidRPr="007F08A5">
        <w:rPr>
          <w:rFonts w:ascii="Times New Roman" w:hAnsi="Times New Roman"/>
          <w:b/>
          <w:sz w:val="24"/>
          <w:szCs w:val="24"/>
          <w:highlight w:val="yellow"/>
        </w:rPr>
        <w:t>Simplicizam i pojednostavljivanje</w:t>
      </w:r>
    </w:p>
    <w:p w14:paraId="6EC13363" w14:textId="77777777" w:rsidR="0054103B" w:rsidRPr="007F08A5" w:rsidRDefault="0054103B" w:rsidP="0054103B">
      <w:pPr>
        <w:pStyle w:val="ListParagraph1"/>
        <w:spacing w:after="0" w:line="360" w:lineRule="auto"/>
        <w:ind w:left="0"/>
        <w:jc w:val="both"/>
        <w:rPr>
          <w:rFonts w:ascii="Times New Roman" w:hAnsi="Times New Roman"/>
          <w:b/>
          <w:sz w:val="24"/>
          <w:szCs w:val="24"/>
        </w:rPr>
      </w:pPr>
      <w:r w:rsidRPr="007F08A5">
        <w:rPr>
          <w:rFonts w:ascii="Times New Roman" w:eastAsia="Times New Roman" w:hAnsi="Times New Roman"/>
          <w:sz w:val="24"/>
          <w:szCs w:val="24"/>
          <w:lang w:eastAsia="hr-HR"/>
        </w:rPr>
        <w:t>Mediji misle da su dužni biti brzi i zabavni, dakle pojednostavljati. Zato dolazi do zloupotrebe stereotipova, podjele na dobre i loše, svođenja govora na jednu rečenicu. Mediji tako o društvu i svijetu daju nepotpune, često iskrivljene slike. To se posebice doima kao da se za neku vijest zanima samo ako je popraćena dobrim slikama.</w:t>
      </w:r>
    </w:p>
    <w:p w14:paraId="35EB5BFA" w14:textId="77777777" w:rsidR="0054103B" w:rsidRPr="007F08A5" w:rsidRDefault="0054103B" w:rsidP="007F08A5">
      <w:pPr>
        <w:spacing w:after="0" w:line="360" w:lineRule="auto"/>
        <w:rPr>
          <w:rFonts w:ascii="Times New Roman" w:eastAsia="Times New Roman" w:hAnsi="Times New Roman"/>
          <w:sz w:val="24"/>
          <w:szCs w:val="24"/>
          <w:lang w:eastAsia="hr-HR"/>
        </w:rPr>
      </w:pPr>
      <w:r w:rsidRPr="007F08A5">
        <w:rPr>
          <w:lang w:eastAsia="hr-HR"/>
        </w:rPr>
        <w:t xml:space="preserve">Novinari bi trebali prestati biti prvi i probati biti najbolji. Za medije je važno tražiti stvarnost ispod privida, a problem je što kodeksi </w:t>
      </w:r>
      <w:r w:rsidRPr="007F08A5">
        <w:rPr>
          <w:b/>
          <w:lang w:eastAsia="hr-HR"/>
        </w:rPr>
        <w:t>ne</w:t>
      </w:r>
      <w:r w:rsidRPr="007F08A5">
        <w:rPr>
          <w:lang w:eastAsia="hr-HR"/>
        </w:rPr>
        <w:t xml:space="preserve"> naglašavaju da novinar mora pročistiti ono što tvrde osobe čije riječi prenosi. Novinar bi se trebao služiti metodama društvenih znanosti, koristiti se računalnim metodama, kako bi prodro ispod površine zbivanja- to se naziva svrdlarskim novinarstvom.</w:t>
      </w:r>
    </w:p>
    <w:p w14:paraId="5D7F9881" w14:textId="77777777" w:rsidR="0054103B" w:rsidRPr="007F08A5" w:rsidRDefault="0054103B" w:rsidP="0054103B">
      <w:pPr>
        <w:pStyle w:val="ListParagraph1"/>
        <w:numPr>
          <w:ilvl w:val="0"/>
          <w:numId w:val="2"/>
        </w:numPr>
        <w:spacing w:after="0" w:line="360" w:lineRule="auto"/>
        <w:jc w:val="both"/>
        <w:rPr>
          <w:rFonts w:ascii="Times New Roman" w:hAnsi="Times New Roman"/>
          <w:b/>
          <w:sz w:val="24"/>
          <w:szCs w:val="24"/>
          <w:highlight w:val="yellow"/>
        </w:rPr>
      </w:pPr>
      <w:r w:rsidRPr="007F08A5">
        <w:rPr>
          <w:rFonts w:ascii="Times New Roman" w:hAnsi="Times New Roman"/>
          <w:b/>
          <w:sz w:val="24"/>
          <w:szCs w:val="24"/>
          <w:highlight w:val="yellow"/>
        </w:rPr>
        <w:t>NODO prema funkciji medija</w:t>
      </w:r>
    </w:p>
    <w:p w14:paraId="1D47B2A0" w14:textId="77777777" w:rsidR="0054103B" w:rsidRPr="007F08A5" w:rsidRDefault="0054103B" w:rsidP="0054103B">
      <w:pPr>
        <w:pStyle w:val="ListParagraph1"/>
        <w:spacing w:after="0" w:line="360" w:lineRule="auto"/>
        <w:ind w:left="0"/>
        <w:jc w:val="both"/>
        <w:rPr>
          <w:rFonts w:ascii="Times New Roman" w:hAnsi="Times New Roman"/>
          <w:b/>
          <w:sz w:val="24"/>
          <w:szCs w:val="24"/>
        </w:rPr>
      </w:pPr>
      <w:r w:rsidRPr="007F08A5">
        <w:rPr>
          <w:rFonts w:ascii="Times New Roman" w:eastAsia="Times New Roman" w:hAnsi="Times New Roman"/>
          <w:b/>
          <w:bCs/>
          <w:sz w:val="24"/>
          <w:szCs w:val="24"/>
          <w:lang w:eastAsia="hr-HR"/>
        </w:rPr>
        <w:t>1. PISANI ILI RADIO I TV- DOKUMENTI</w:t>
      </w:r>
    </w:p>
    <w:p w14:paraId="763D021C"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Okvir za ispravke</w:t>
      </w:r>
      <w:r w:rsidRPr="007F08A5">
        <w:rPr>
          <w:rFonts w:ascii="Times New Roman" w:eastAsia="Times New Roman" w:hAnsi="Times New Roman"/>
          <w:sz w:val="24"/>
          <w:szCs w:val="24"/>
          <w:lang w:eastAsia="hr-HR"/>
        </w:rPr>
        <w:t>Ovo se sredstvo čini zanemarivim, ali nije. Glavna prednost mu je što je besplatno i potiče novinare da priznaju svoje greške. Na taj način novinari popravljaju svoju vjerodostojnost i povjerenje javnosti.</w:t>
      </w:r>
    </w:p>
    <w:p w14:paraId="553BB05E"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Pisma čitalaca</w:t>
      </w:r>
      <w:r w:rsidRPr="007F08A5">
        <w:rPr>
          <w:rFonts w:ascii="Times New Roman" w:eastAsia="Times New Roman" w:hAnsi="Times New Roman"/>
          <w:sz w:val="24"/>
          <w:szCs w:val="24"/>
          <w:lang w:eastAsia="hr-HR"/>
        </w:rPr>
        <w:t xml:space="preserve">Jedna od glavnih funkcija medija je pružiti forum za razmjenu mišljenja. U demokraciji se sve skupine ljudi moraju moći izraziti. Ovaj se oblik NODO-a razvio 70-ih u SAD-u, i to toliko da je zauzimao više od jedne stranice dnevno i bio je jedna od najčitanijih rubrika. </w:t>
      </w:r>
    </w:p>
    <w:p w14:paraId="414B85EE"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Javni karakter mišljenja</w:t>
      </w:r>
      <w:r w:rsidRPr="007F08A5">
        <w:rPr>
          <w:rFonts w:ascii="Times New Roman" w:eastAsia="Times New Roman" w:hAnsi="Times New Roman"/>
          <w:sz w:val="24"/>
          <w:szCs w:val="24"/>
          <w:lang w:eastAsia="hr-HR"/>
        </w:rPr>
        <w:t xml:space="preserve"> U SAD-u je često da neka ideološka skupina ili tvrtka kupi stranice nekih časopisa kako bi na njima raskrinkala određene medijske zloupotrebe. </w:t>
      </w:r>
    </w:p>
    <w:p w14:paraId="22CF0165"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Upitnik o točnosti i ravnopravnosti</w:t>
      </w:r>
      <w:r w:rsidRPr="007F08A5">
        <w:rPr>
          <w:rFonts w:ascii="Times New Roman" w:eastAsia="Times New Roman" w:hAnsi="Times New Roman"/>
          <w:sz w:val="24"/>
          <w:szCs w:val="24"/>
          <w:lang w:eastAsia="hr-HR"/>
        </w:rPr>
        <w:t xml:space="preserve"> S vremena na vrijeme šalje ih se osobama spomenutim u novinama ili ih se objavljuje za svoje čitatelje. On se u praksi premalo koristi, iako je besplatan i vrlo koristan. </w:t>
      </w:r>
    </w:p>
    <w:p w14:paraId="1AED0A90"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Interna okružnica</w:t>
      </w:r>
      <w:r w:rsidRPr="007F08A5">
        <w:rPr>
          <w:rFonts w:ascii="Times New Roman" w:eastAsia="Times New Roman" w:hAnsi="Times New Roman"/>
          <w:sz w:val="24"/>
          <w:szCs w:val="24"/>
          <w:lang w:eastAsia="hr-HR"/>
        </w:rPr>
        <w:t xml:space="preserve"> Upravitelji redakcije moraju se ponašati kao pedagozi i povremeno podsjetiti novinare na načela novinarstva, pravila kuće, nepisane tradicije…</w:t>
      </w:r>
    </w:p>
    <w:p w14:paraId="520CDBD9"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Deontološki kodeks</w:t>
      </w:r>
      <w:r w:rsidRPr="007F08A5">
        <w:rPr>
          <w:rFonts w:ascii="Times New Roman" w:eastAsia="Times New Roman" w:hAnsi="Times New Roman"/>
          <w:sz w:val="24"/>
          <w:szCs w:val="24"/>
          <w:lang w:eastAsia="hr-HR"/>
        </w:rPr>
        <w:t xml:space="preserve"> To je kodeks koji su prihvatili medijski profesionalci nakon rasprave, a samo njegovo postojanje vrši određeni moralni pritisak. </w:t>
      </w:r>
    </w:p>
    <w:p w14:paraId="03DB7937"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lastRenderedPageBreak/>
        <w:t>Stranica/ emisija o medijima</w:t>
      </w:r>
      <w:r w:rsidRPr="007F08A5">
        <w:rPr>
          <w:rFonts w:ascii="Times New Roman" w:eastAsia="Times New Roman" w:hAnsi="Times New Roman"/>
          <w:sz w:val="24"/>
          <w:szCs w:val="24"/>
          <w:lang w:eastAsia="hr-HR"/>
        </w:rPr>
        <w:t xml:space="preserve"> Osim informacija, one moraju sadržavati i kritike. Nalazimo ih u ozbiljnim listovima i kvalitetnim časopisima. </w:t>
      </w:r>
    </w:p>
    <w:p w14:paraId="675F4920"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Kritička revija</w:t>
      </w:r>
      <w:r w:rsidRPr="007F08A5">
        <w:rPr>
          <w:rFonts w:ascii="Times New Roman" w:eastAsia="Times New Roman" w:hAnsi="Times New Roman"/>
          <w:sz w:val="24"/>
          <w:szCs w:val="24"/>
          <w:lang w:eastAsia="hr-HR"/>
        </w:rPr>
        <w:t xml:space="preserve"> Kritičke revije, pregledi medijskih zbivanja, posvećeni su kritici medija neke zemlje, identificiraju njihova iskrivljavanja i propuste, i objavljuju zataškane informacije. One su pokazale da neki novinari ipak javno prosvjeduju, te da nisu samo pasivni najamni radnici.</w:t>
      </w:r>
    </w:p>
    <w:p w14:paraId="57156274"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Izvješće ili kritička knjiga</w:t>
      </w:r>
      <w:r w:rsidRPr="007F08A5">
        <w:rPr>
          <w:rFonts w:ascii="Times New Roman" w:eastAsia="Times New Roman" w:hAnsi="Times New Roman"/>
          <w:sz w:val="24"/>
          <w:szCs w:val="24"/>
          <w:lang w:eastAsia="hr-HR"/>
        </w:rPr>
        <w:t xml:space="preserve"> To su izvješća što ih sastavljaju stručna povjerenstva na inicijativu udruženja ili vladine službe, ponekad prilikom neke krize otkrivaju nedostatke medija i predlažu poboljšanja. Neki medijski profesionalci također pišu knjige koje predlažu poboljšanja.</w:t>
      </w:r>
    </w:p>
    <w:p w14:paraId="68654EF5"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Javna izjava</w:t>
      </w:r>
      <w:r w:rsidRPr="007F08A5">
        <w:rPr>
          <w:rFonts w:ascii="Times New Roman" w:eastAsia="Times New Roman" w:hAnsi="Times New Roman"/>
          <w:sz w:val="24"/>
          <w:szCs w:val="24"/>
          <w:lang w:eastAsia="hr-HR"/>
        </w:rPr>
        <w:t xml:space="preserve"> Obznanjeno mišljenje neke ličnosti o medijima može imati velik utjecaj. </w:t>
      </w:r>
    </w:p>
    <w:p w14:paraId="6CC80192"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Filmovi i emisije</w:t>
      </w:r>
      <w:r w:rsidRPr="007F08A5">
        <w:rPr>
          <w:rFonts w:ascii="Times New Roman" w:eastAsia="Times New Roman" w:hAnsi="Times New Roman"/>
          <w:sz w:val="24"/>
          <w:szCs w:val="24"/>
          <w:lang w:eastAsia="hr-HR"/>
        </w:rPr>
        <w:t xml:space="preserve"> Neki dugometražni filmovi i tv serije prikazuju svijet medija bez milosti npr. Murphy Brown. </w:t>
      </w:r>
    </w:p>
    <w:p w14:paraId="5EB52378"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Mali prosvjednički mediji</w:t>
      </w:r>
      <w:r w:rsidRPr="007F08A5">
        <w:rPr>
          <w:rFonts w:ascii="Times New Roman" w:eastAsia="Times New Roman" w:hAnsi="Times New Roman"/>
          <w:sz w:val="24"/>
          <w:szCs w:val="24"/>
          <w:lang w:eastAsia="hr-HR"/>
        </w:rPr>
        <w:t xml:space="preserve"> Stranačka glasila, alternativne novine, politički talk show i drugi također iznose na vidjelo ono što bi inače moglo ostati zataškano.</w:t>
      </w:r>
    </w:p>
    <w:p w14:paraId="701DFCC2" w14:textId="77777777" w:rsidR="0054103B" w:rsidRPr="007F08A5" w:rsidRDefault="0054103B" w:rsidP="0054103B">
      <w:pPr>
        <w:numPr>
          <w:ilvl w:val="0"/>
          <w:numId w:val="3"/>
        </w:numPr>
        <w:spacing w:after="0" w:line="360" w:lineRule="auto"/>
        <w:jc w:val="both"/>
        <w:rPr>
          <w:rFonts w:ascii="Times New Roman" w:eastAsia="Times New Roman" w:hAnsi="Times New Roman"/>
          <w:sz w:val="24"/>
          <w:szCs w:val="24"/>
          <w:lang w:eastAsia="hr-HR"/>
        </w:rPr>
      </w:pPr>
      <w:r w:rsidRPr="007F08A5">
        <w:rPr>
          <w:rFonts w:ascii="Times New Roman" w:eastAsia="Times New Roman" w:hAnsi="Times New Roman"/>
          <w:b/>
          <w:bCs/>
          <w:sz w:val="24"/>
          <w:szCs w:val="24"/>
          <w:lang w:eastAsia="hr-HR"/>
        </w:rPr>
        <w:t>Javna radio- televizija</w:t>
      </w:r>
      <w:r w:rsidRPr="007F08A5">
        <w:rPr>
          <w:rFonts w:ascii="Times New Roman" w:eastAsia="Times New Roman" w:hAnsi="Times New Roman"/>
          <w:sz w:val="24"/>
          <w:szCs w:val="24"/>
          <w:lang w:eastAsia="hr-HR"/>
        </w:rPr>
        <w:t xml:space="preserve"> Kvalitetna javna tv posvećuje se služenju javnosti, te kvalitetom, raznovrsnošću, inovacijama, transparentnošću predstavlja kritiku komercijalne tv. Na njoj nema reklamnih pregleda svakih 10 minuta, ni pretjerivanja u zabavi, ni miješanja reklame s informacijama. </w:t>
      </w:r>
    </w:p>
    <w:p w14:paraId="38278E0F" w14:textId="77777777" w:rsidR="0054103B" w:rsidRPr="007F08A5" w:rsidRDefault="007F08A5" w:rsidP="0054103B">
      <w:pPr>
        <w:pStyle w:val="ListParagraph1"/>
        <w:numPr>
          <w:ilvl w:val="0"/>
          <w:numId w:val="2"/>
        </w:numPr>
        <w:spacing w:after="0" w:line="360" w:lineRule="auto"/>
        <w:jc w:val="both"/>
        <w:rPr>
          <w:rFonts w:ascii="Times New Roman" w:hAnsi="Times New Roman"/>
          <w:b/>
          <w:sz w:val="24"/>
          <w:szCs w:val="24"/>
          <w:highlight w:val="yellow"/>
        </w:rPr>
      </w:pPr>
      <w:r>
        <w:rPr>
          <w:rFonts w:ascii="Times New Roman" w:hAnsi="Times New Roman"/>
          <w:b/>
          <w:sz w:val="24"/>
          <w:szCs w:val="24"/>
          <w:highlight w:val="yellow"/>
        </w:rPr>
        <w:t>N</w:t>
      </w:r>
      <w:r w:rsidR="0054103B" w:rsidRPr="007F08A5">
        <w:rPr>
          <w:rFonts w:ascii="Times New Roman" w:hAnsi="Times New Roman"/>
          <w:b/>
          <w:sz w:val="24"/>
          <w:szCs w:val="24"/>
          <w:highlight w:val="yellow"/>
        </w:rPr>
        <w:t>ovinari kao glavni akteri NODO-a</w:t>
      </w:r>
    </w:p>
    <w:p w14:paraId="5D121114" w14:textId="77777777" w:rsidR="0054103B" w:rsidRPr="007F08A5" w:rsidRDefault="0054103B" w:rsidP="0054103B">
      <w:pPr>
        <w:pStyle w:val="ListParagraph1"/>
        <w:spacing w:after="0" w:line="360" w:lineRule="auto"/>
        <w:ind w:left="0"/>
        <w:jc w:val="both"/>
        <w:rPr>
          <w:rFonts w:ascii="Times New Roman" w:hAnsi="Times New Roman"/>
          <w:b/>
          <w:sz w:val="24"/>
          <w:szCs w:val="24"/>
        </w:rPr>
      </w:pPr>
      <w:r w:rsidRPr="007F08A5">
        <w:rPr>
          <w:rFonts w:ascii="Times New Roman" w:hAnsi="Times New Roman"/>
          <w:sz w:val="24"/>
          <w:szCs w:val="24"/>
        </w:rPr>
        <w:t>Novinari su glavni akteri koji najviše mogu pridonijeti poboljšanju kvalitete medija i koje se najčešće proziva na odgovornost zbog medijskih propusta. Bilo bi učinkovito osnovati dobrovoljnu udrugu novinara i njihovih poslodavaca koja bi medijima diktirala društveno odgovorno ponašanje, no kritičari kažu kako bi takva udruga uživala malo povjerenje javnosti.</w:t>
      </w:r>
    </w:p>
    <w:p w14:paraId="69BE3444" w14:textId="77777777" w:rsidR="0054103B" w:rsidRPr="007F08A5" w:rsidRDefault="007F08A5" w:rsidP="0054103B">
      <w:pPr>
        <w:pStyle w:val="ListParagraph1"/>
        <w:numPr>
          <w:ilvl w:val="0"/>
          <w:numId w:val="2"/>
        </w:numPr>
        <w:spacing w:after="0" w:line="360" w:lineRule="auto"/>
        <w:ind w:left="720" w:hanging="436"/>
        <w:jc w:val="both"/>
        <w:rPr>
          <w:rFonts w:ascii="Times New Roman" w:hAnsi="Times New Roman"/>
          <w:b/>
          <w:sz w:val="24"/>
          <w:szCs w:val="24"/>
          <w:highlight w:val="yellow"/>
        </w:rPr>
      </w:pPr>
      <w:r>
        <w:rPr>
          <w:rFonts w:ascii="Times New Roman" w:hAnsi="Times New Roman"/>
          <w:b/>
          <w:sz w:val="24"/>
          <w:szCs w:val="24"/>
          <w:highlight w:val="yellow"/>
        </w:rPr>
        <w:t>Z</w:t>
      </w:r>
      <w:r w:rsidR="0054103B" w:rsidRPr="007F08A5">
        <w:rPr>
          <w:rFonts w:ascii="Times New Roman" w:hAnsi="Times New Roman"/>
          <w:b/>
          <w:sz w:val="24"/>
          <w:szCs w:val="24"/>
          <w:highlight w:val="yellow"/>
        </w:rPr>
        <w:t>nati opisati sudionike u medijskom svijetu</w:t>
      </w:r>
      <w:r>
        <w:rPr>
          <w:rFonts w:ascii="Times New Roman" w:hAnsi="Times New Roman"/>
          <w:b/>
          <w:sz w:val="24"/>
          <w:szCs w:val="24"/>
          <w:highlight w:val="yellow"/>
        </w:rPr>
        <w:t>.</w:t>
      </w:r>
    </w:p>
    <w:p w14:paraId="3DAD5F70" w14:textId="77777777" w:rsidR="0054103B" w:rsidRPr="007F08A5" w:rsidRDefault="0054103B" w:rsidP="0054103B">
      <w:pPr>
        <w:pStyle w:val="ListParagraph1"/>
        <w:numPr>
          <w:ilvl w:val="0"/>
          <w:numId w:val="4"/>
        </w:numPr>
        <w:spacing w:after="0" w:line="360" w:lineRule="auto"/>
        <w:jc w:val="both"/>
        <w:rPr>
          <w:rFonts w:ascii="Times New Roman" w:hAnsi="Times New Roman"/>
          <w:b/>
          <w:sz w:val="24"/>
          <w:szCs w:val="24"/>
        </w:rPr>
      </w:pPr>
      <w:r w:rsidRPr="007F08A5">
        <w:rPr>
          <w:rFonts w:ascii="Times New Roman" w:hAnsi="Times New Roman"/>
          <w:sz w:val="24"/>
          <w:szCs w:val="24"/>
        </w:rPr>
        <w:t>ŠEFOVI I ZAPOSLENICI – novinari katkad mogu napraviti pogreške, no o stavu redakcije spram deontologije odlučuju vlasnici; od šefova se očekuje upravljački duh, a ne moralna svijest; novinarsko se zanimanje sve više približava slobodnoj profesiji; prvo o čemu se novinari moraju brinuti jest da služe svojim klijentima</w:t>
      </w:r>
    </w:p>
    <w:p w14:paraId="6CE3E348" w14:textId="77777777" w:rsidR="0054103B" w:rsidRPr="007F08A5" w:rsidRDefault="0054103B" w:rsidP="0054103B">
      <w:pPr>
        <w:pStyle w:val="ListParagraph1"/>
        <w:numPr>
          <w:ilvl w:val="0"/>
          <w:numId w:val="4"/>
        </w:numPr>
        <w:spacing w:after="0" w:line="360" w:lineRule="auto"/>
        <w:jc w:val="both"/>
        <w:rPr>
          <w:rFonts w:ascii="Times New Roman" w:hAnsi="Times New Roman"/>
          <w:b/>
          <w:sz w:val="24"/>
          <w:szCs w:val="24"/>
        </w:rPr>
      </w:pPr>
      <w:r w:rsidRPr="007F08A5">
        <w:rPr>
          <w:rFonts w:ascii="Times New Roman" w:hAnsi="Times New Roman"/>
          <w:sz w:val="24"/>
          <w:szCs w:val="24"/>
        </w:rPr>
        <w:t>SITNE RIBE I ZVIJEZDE – običnih je novinara bezbroj i slabo su plaćeni; zvijezde najčešće nastaju na TV-u i odlično su plaćene, one služe kao uzor, ali podložniji su kršenju deontologije</w:t>
      </w:r>
    </w:p>
    <w:p w14:paraId="69F4B370" w14:textId="77777777" w:rsidR="0054103B" w:rsidRPr="007F08A5" w:rsidRDefault="0054103B" w:rsidP="0054103B">
      <w:pPr>
        <w:pStyle w:val="ListParagraph1"/>
        <w:numPr>
          <w:ilvl w:val="0"/>
          <w:numId w:val="4"/>
        </w:numPr>
        <w:spacing w:after="0" w:line="360" w:lineRule="auto"/>
        <w:jc w:val="both"/>
        <w:rPr>
          <w:rFonts w:ascii="Times New Roman" w:hAnsi="Times New Roman"/>
          <w:b/>
          <w:sz w:val="24"/>
          <w:szCs w:val="24"/>
        </w:rPr>
      </w:pPr>
      <w:r w:rsidRPr="007F08A5">
        <w:rPr>
          <w:rFonts w:ascii="Times New Roman" w:hAnsi="Times New Roman"/>
          <w:sz w:val="24"/>
          <w:szCs w:val="24"/>
        </w:rPr>
        <w:lastRenderedPageBreak/>
        <w:t>OGLAŠIVAČI – osiguravaju blagostanje medija, vrše pritisak na medije kako bi izbrisali granicu između reklame i informacije; najveći protivnici „društvene odgovornosti“</w:t>
      </w:r>
    </w:p>
    <w:p w14:paraId="292066BA" w14:textId="77777777" w:rsidR="0054103B" w:rsidRPr="007F08A5" w:rsidRDefault="0054103B" w:rsidP="0054103B">
      <w:pPr>
        <w:pStyle w:val="ListParagraph1"/>
        <w:numPr>
          <w:ilvl w:val="0"/>
          <w:numId w:val="4"/>
        </w:numPr>
        <w:spacing w:after="0" w:line="360" w:lineRule="auto"/>
        <w:jc w:val="both"/>
        <w:rPr>
          <w:rFonts w:ascii="Times New Roman" w:hAnsi="Times New Roman"/>
          <w:b/>
          <w:sz w:val="24"/>
          <w:szCs w:val="24"/>
        </w:rPr>
      </w:pPr>
      <w:r w:rsidRPr="007F08A5">
        <w:rPr>
          <w:rFonts w:ascii="Times New Roman" w:hAnsi="Times New Roman"/>
          <w:sz w:val="24"/>
          <w:szCs w:val="24"/>
        </w:rPr>
        <w:t>KORISNICI – javnost ima osjećaj da je mediji varaju i iskorištavaju; korisnici su katkad prepreka slobodi novinara; stav javnosti ima političku težinu</w:t>
      </w:r>
    </w:p>
    <w:p w14:paraId="315A9ADA" w14:textId="77777777" w:rsidR="0054103B" w:rsidRPr="007F08A5" w:rsidRDefault="007F08A5" w:rsidP="0054103B">
      <w:pPr>
        <w:pStyle w:val="ListParagraph1"/>
        <w:numPr>
          <w:ilvl w:val="0"/>
          <w:numId w:val="2"/>
        </w:numPr>
        <w:spacing w:after="0" w:line="360" w:lineRule="auto"/>
        <w:jc w:val="both"/>
        <w:rPr>
          <w:rFonts w:ascii="Times New Roman" w:hAnsi="Times New Roman"/>
          <w:b/>
          <w:sz w:val="24"/>
          <w:szCs w:val="24"/>
          <w:highlight w:val="yellow"/>
        </w:rPr>
      </w:pPr>
      <w:r>
        <w:rPr>
          <w:rFonts w:ascii="Times New Roman" w:hAnsi="Times New Roman"/>
          <w:b/>
          <w:sz w:val="24"/>
          <w:szCs w:val="24"/>
          <w:highlight w:val="yellow"/>
        </w:rPr>
        <w:t>Š</w:t>
      </w:r>
      <w:r w:rsidR="0054103B" w:rsidRPr="007F08A5">
        <w:rPr>
          <w:rFonts w:ascii="Times New Roman" w:hAnsi="Times New Roman"/>
          <w:b/>
          <w:sz w:val="24"/>
          <w:szCs w:val="24"/>
          <w:highlight w:val="yellow"/>
        </w:rPr>
        <w:t>to je to pozitivna sloboda</w:t>
      </w:r>
      <w:r>
        <w:rPr>
          <w:rFonts w:ascii="Times New Roman" w:hAnsi="Times New Roman"/>
          <w:b/>
          <w:sz w:val="24"/>
          <w:szCs w:val="24"/>
          <w:highlight w:val="yellow"/>
        </w:rPr>
        <w:t>?</w:t>
      </w:r>
    </w:p>
    <w:p w14:paraId="0BC6B07E"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Stoljećima se sloboda tiska shvaćala kao pravo svakoga građanina i bila realna sve dok je za izdavanje neke periodične tiskovine bila dovoljna posve skromna svota; porastom troškova ta sloboda postaje negativna: između više listova građanin je mogao odbaciti one koji nisu odgovarali njegovim potrebama ili su podastirali drugačije viđenje svijeta; sloboda tiska postaje pravo plutokrata i vladajućih krugova zbog čega se u skandinavskim i anglosaksonskim demokracijama stranačka i novinarska  oporba integrira u politički život; preformulacija u pozivinu slobodu: ZADOVOLJAVANJE PRAVA GRAĐANA NA INFORMACIJU I PRISTUP MEDIJIMA!</w:t>
      </w:r>
    </w:p>
    <w:p w14:paraId="2F6099BF" w14:textId="77777777" w:rsidR="0054103B" w:rsidRPr="007F08A5" w:rsidRDefault="007F08A5" w:rsidP="0054103B">
      <w:pPr>
        <w:pStyle w:val="ListParagraph1"/>
        <w:numPr>
          <w:ilvl w:val="0"/>
          <w:numId w:val="2"/>
        </w:numPr>
        <w:spacing w:after="0" w:line="360" w:lineRule="auto"/>
        <w:jc w:val="both"/>
        <w:rPr>
          <w:rFonts w:ascii="Times New Roman" w:hAnsi="Times New Roman"/>
          <w:b/>
          <w:sz w:val="24"/>
          <w:szCs w:val="24"/>
          <w:highlight w:val="yellow"/>
        </w:rPr>
      </w:pPr>
      <w:r>
        <w:rPr>
          <w:rFonts w:ascii="Times New Roman" w:hAnsi="Times New Roman"/>
          <w:b/>
          <w:sz w:val="24"/>
          <w:szCs w:val="24"/>
          <w:highlight w:val="yellow"/>
        </w:rPr>
        <w:t>C</w:t>
      </w:r>
      <w:r w:rsidR="0054103B" w:rsidRPr="007F08A5">
        <w:rPr>
          <w:rFonts w:ascii="Times New Roman" w:hAnsi="Times New Roman"/>
          <w:b/>
          <w:sz w:val="24"/>
          <w:szCs w:val="24"/>
          <w:highlight w:val="yellow"/>
        </w:rPr>
        <w:t>iljevi kodeksa, autori i povijest kodeksa</w:t>
      </w:r>
      <w:r>
        <w:rPr>
          <w:rFonts w:ascii="Times New Roman" w:hAnsi="Times New Roman"/>
          <w:b/>
          <w:sz w:val="24"/>
          <w:szCs w:val="24"/>
          <w:highlight w:val="yellow"/>
        </w:rPr>
        <w:t>.</w:t>
      </w:r>
    </w:p>
    <w:p w14:paraId="4E06462C"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b/>
          <w:sz w:val="24"/>
          <w:szCs w:val="24"/>
        </w:rPr>
        <w:t xml:space="preserve">CILJEVI KODEKSA – </w:t>
      </w:r>
      <w:r w:rsidRPr="007F08A5">
        <w:rPr>
          <w:rFonts w:ascii="Times New Roman" w:hAnsi="Times New Roman"/>
          <w:sz w:val="24"/>
          <w:szCs w:val="24"/>
        </w:rPr>
        <w:t>deontološkom je kodeksu cijl odstraniti varalice i šarlatane; kodeks informira javnost o profesiji, signalizira joj da ona ima svoja pravila ponašanja, uvećava njezin kredibilitet, jamči vjernost klijenata i oglašivača, štiti klijenta, ali stvara određenu solidarnost unutar skupine i održava ugled profesije; kodeksu je također cilj izbjeći intervenciju država koja u slučaju medija može biti opasna</w:t>
      </w:r>
    </w:p>
    <w:p w14:paraId="6C08A13E"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b/>
          <w:sz w:val="24"/>
          <w:szCs w:val="24"/>
        </w:rPr>
        <w:t xml:space="preserve">AUTORI KODEKSA – </w:t>
      </w:r>
      <w:r w:rsidRPr="007F08A5">
        <w:rPr>
          <w:rFonts w:ascii="Times New Roman" w:hAnsi="Times New Roman"/>
          <w:sz w:val="24"/>
          <w:szCs w:val="24"/>
        </w:rPr>
        <w:t>postoje nacionalni kodeksi koje izrađuje jedna ili više udruga; međunarodni kodeksi koje izrađuje udruga poslodavaca, udruga novinara; postoje monomedijski kodeksi i oni svojstveni jednom srodstvu javnog informiranja; „deontološki kodeks“ morao bi se formulirati dobrovoljno unutar neke strukovne skupine, zato neki ne priznaju pravilnike koje za svoje zaposlenike sastavljaju poslodavci; prigovori tim kodeksima prijeporni su jer se oni ne sastoje od drugačijih pravila, nego samo od preciznije definiranih istih pravila; prednost im je što se mogu uključiti u ugovore o radu i uključivati sankcije. Kodeks moraju prihvatiti svi članovi strukovne zajednice.</w:t>
      </w:r>
    </w:p>
    <w:p w14:paraId="147FA46E"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b/>
          <w:sz w:val="24"/>
          <w:szCs w:val="24"/>
        </w:rPr>
        <w:t xml:space="preserve">POVIJEST KODEKSA – </w:t>
      </w:r>
      <w:r w:rsidRPr="007F08A5">
        <w:rPr>
          <w:rFonts w:ascii="Times New Roman" w:hAnsi="Times New Roman"/>
          <w:sz w:val="24"/>
          <w:szCs w:val="24"/>
        </w:rPr>
        <w:t>kodeksi su se počeli umnažati početkom 20.stoljeća; 1986. poljski novinari iz Galicije sastavili su popis dužnosti i osnovali sud časti; prvi nacionalni kodeks bio je francuski; na međunarodnoj je razini prvi kodeks sastavila InterAmerican Press Association; 1939. Međunarodna federacija novinara ustanovila je vlastiti kodeks časti.</w:t>
      </w:r>
    </w:p>
    <w:p w14:paraId="588EC6F9" w14:textId="77777777" w:rsidR="0054103B" w:rsidRPr="007F08A5" w:rsidRDefault="007F08A5" w:rsidP="0054103B">
      <w:pPr>
        <w:pStyle w:val="ListParagraph1"/>
        <w:numPr>
          <w:ilvl w:val="0"/>
          <w:numId w:val="2"/>
        </w:numPr>
        <w:spacing w:after="0" w:line="360" w:lineRule="auto"/>
        <w:jc w:val="both"/>
        <w:rPr>
          <w:rFonts w:ascii="Times New Roman" w:hAnsi="Times New Roman"/>
          <w:b/>
          <w:sz w:val="24"/>
          <w:szCs w:val="24"/>
          <w:highlight w:val="yellow"/>
        </w:rPr>
      </w:pPr>
      <w:r>
        <w:rPr>
          <w:rFonts w:ascii="Times New Roman" w:hAnsi="Times New Roman"/>
          <w:b/>
          <w:sz w:val="24"/>
          <w:szCs w:val="24"/>
          <w:highlight w:val="yellow"/>
        </w:rPr>
        <w:t>N</w:t>
      </w:r>
      <w:r w:rsidR="0054103B" w:rsidRPr="007F08A5">
        <w:rPr>
          <w:rFonts w:ascii="Times New Roman" w:hAnsi="Times New Roman"/>
          <w:b/>
          <w:sz w:val="24"/>
          <w:szCs w:val="24"/>
          <w:highlight w:val="yellow"/>
        </w:rPr>
        <w:t>apola prazna čaša</w:t>
      </w:r>
      <w:r>
        <w:rPr>
          <w:rFonts w:ascii="Times New Roman" w:hAnsi="Times New Roman"/>
          <w:b/>
          <w:sz w:val="24"/>
          <w:szCs w:val="24"/>
          <w:highlight w:val="yellow"/>
        </w:rPr>
        <w:t>.</w:t>
      </w:r>
    </w:p>
    <w:p w14:paraId="3AA0DD70"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lastRenderedPageBreak/>
        <w:t>Ako je za vjerovati tradiciji, dobra vijest nije vijest. Mediji sve češće stavljaju naglasak na nesporazum, sukob, dramu, poraz. Radije se ističu problemi nego rješenja. Ima smisla prikazivati pokvarenost, ali opasno je za demokraciju kada se čitav javni život doima pokvarenim. Ne gledajući ništa drugo doli napola praznu čašu, građanin je u opasnosti da stekne deprimatnu viziju društva u kojem se ipak živi daleko bolje nego prije 50 ili 100 godina, barem na zapadu.</w:t>
      </w:r>
    </w:p>
    <w:p w14:paraId="73837B70" w14:textId="77777777" w:rsidR="0054103B" w:rsidRPr="007F08A5" w:rsidRDefault="007F08A5" w:rsidP="0054103B">
      <w:pPr>
        <w:pStyle w:val="ListParagraph1"/>
        <w:numPr>
          <w:ilvl w:val="0"/>
          <w:numId w:val="2"/>
        </w:numPr>
        <w:spacing w:after="0" w:line="360" w:lineRule="auto"/>
        <w:jc w:val="both"/>
        <w:rPr>
          <w:rFonts w:ascii="Times New Roman" w:hAnsi="Times New Roman"/>
          <w:b/>
          <w:sz w:val="24"/>
          <w:szCs w:val="24"/>
          <w:highlight w:val="yellow"/>
        </w:rPr>
      </w:pPr>
      <w:r>
        <w:rPr>
          <w:rFonts w:ascii="Times New Roman" w:hAnsi="Times New Roman"/>
          <w:b/>
          <w:sz w:val="24"/>
          <w:szCs w:val="24"/>
          <w:highlight w:val="yellow"/>
        </w:rPr>
        <w:t>C</w:t>
      </w:r>
      <w:r w:rsidR="0054103B" w:rsidRPr="007F08A5">
        <w:rPr>
          <w:rFonts w:ascii="Times New Roman" w:hAnsi="Times New Roman"/>
          <w:b/>
          <w:sz w:val="24"/>
          <w:szCs w:val="24"/>
          <w:highlight w:val="yellow"/>
        </w:rPr>
        <w:t>ivilno novinarstvo</w:t>
      </w:r>
      <w:r>
        <w:rPr>
          <w:rFonts w:ascii="Times New Roman" w:hAnsi="Times New Roman"/>
          <w:b/>
          <w:sz w:val="24"/>
          <w:szCs w:val="24"/>
          <w:highlight w:val="yellow"/>
        </w:rPr>
        <w:t>.</w:t>
      </w:r>
    </w:p>
    <w:p w14:paraId="2A127C16" w14:textId="77777777" w:rsidR="0054103B" w:rsidRPr="007F08A5" w:rsidRDefault="0054103B" w:rsidP="0054103B">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Deontološki kodeks AMPE-a, sastavljen 1974. i revidiran 1994., jedan je od rijetkih koji daju sljedeću preporuku: novine bi trebale davati konstruktivnu kritiku svih sektora društva. Public ili cvil journalism je pojam izmišljen kako bi se borilo protvi opadanja naklade i vjerodostojnosti medija, u SAD-u devedesetih godina. Aktualna zbivanja ne bi trebali prikazivati kao spektakl nego informirati da potiču na raspravu o ozbiljnim pitanjima</w:t>
      </w:r>
    </w:p>
    <w:p w14:paraId="1F449DF9" w14:textId="77777777" w:rsidR="0054103B" w:rsidRPr="007F08A5" w:rsidRDefault="007F08A5" w:rsidP="0054103B">
      <w:pPr>
        <w:pStyle w:val="ListParagraph1"/>
        <w:numPr>
          <w:ilvl w:val="0"/>
          <w:numId w:val="2"/>
        </w:numPr>
        <w:spacing w:after="0" w:line="360" w:lineRule="auto"/>
        <w:jc w:val="both"/>
        <w:rPr>
          <w:rFonts w:ascii="Times New Roman" w:hAnsi="Times New Roman"/>
          <w:b/>
          <w:sz w:val="24"/>
          <w:szCs w:val="24"/>
          <w:highlight w:val="yellow"/>
        </w:rPr>
      </w:pPr>
      <w:r>
        <w:rPr>
          <w:rFonts w:ascii="Times New Roman" w:hAnsi="Times New Roman"/>
          <w:b/>
          <w:sz w:val="24"/>
          <w:szCs w:val="24"/>
          <w:highlight w:val="yellow"/>
        </w:rPr>
        <w:t>P</w:t>
      </w:r>
      <w:r w:rsidR="0054103B" w:rsidRPr="007F08A5">
        <w:rPr>
          <w:rFonts w:ascii="Times New Roman" w:hAnsi="Times New Roman"/>
          <w:b/>
          <w:sz w:val="24"/>
          <w:szCs w:val="24"/>
          <w:highlight w:val="yellow"/>
        </w:rPr>
        <w:t>seudoinformacije</w:t>
      </w:r>
      <w:r>
        <w:rPr>
          <w:rFonts w:ascii="Times New Roman" w:hAnsi="Times New Roman"/>
          <w:b/>
          <w:sz w:val="24"/>
          <w:szCs w:val="24"/>
          <w:highlight w:val="yellow"/>
        </w:rPr>
        <w:t>.</w:t>
      </w:r>
    </w:p>
    <w:p w14:paraId="7B4C3648" w14:textId="77777777" w:rsidR="0054103B" w:rsidRPr="007F08A5" w:rsidRDefault="0054103B" w:rsidP="00376CCA">
      <w:pPr>
        <w:pStyle w:val="ListParagraph1"/>
        <w:spacing w:after="0" w:line="360" w:lineRule="auto"/>
        <w:ind w:left="0"/>
        <w:jc w:val="both"/>
        <w:rPr>
          <w:rFonts w:ascii="Times New Roman" w:hAnsi="Times New Roman"/>
          <w:sz w:val="24"/>
          <w:szCs w:val="24"/>
        </w:rPr>
      </w:pPr>
      <w:r w:rsidRPr="007F08A5">
        <w:rPr>
          <w:rFonts w:ascii="Times New Roman" w:hAnsi="Times New Roman"/>
          <w:sz w:val="24"/>
          <w:szCs w:val="24"/>
        </w:rPr>
        <w:t>Previše vijesti fabriciraju oni koji iz njih izvlače korist: većina njih ima prednost što su pripremljene dobrano unaprijed i prilagođene medijskoj upotrebi. Lako je prepoznati reklamu prerušenu u informaciju, ali manje su primjetni izvješće ili video – snimka dobiveni od predstavnika za tisak. Ima događaja koje mediji skuju sami.</w:t>
      </w:r>
    </w:p>
    <w:sectPr w:rsidR="0054103B" w:rsidRPr="007F08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670EF"/>
    <w:multiLevelType w:val="hybridMultilevel"/>
    <w:tmpl w:val="81C629AE"/>
    <w:lvl w:ilvl="0" w:tplc="48C04874">
      <w:start w:val="1"/>
      <w:numFmt w:val="bullet"/>
      <w:lvlText w:val=""/>
      <w:lvlJc w:val="left"/>
      <w:pPr>
        <w:ind w:left="720" w:hanging="360"/>
      </w:pPr>
      <w:rPr>
        <w:rFonts w:ascii="Wingdings" w:hAnsi="Wingdings" w:hint="default"/>
        <w:sz w:val="2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5CA4CAF"/>
    <w:multiLevelType w:val="hybridMultilevel"/>
    <w:tmpl w:val="2034EBE6"/>
    <w:lvl w:ilvl="0" w:tplc="48C04874">
      <w:start w:val="1"/>
      <w:numFmt w:val="bullet"/>
      <w:lvlText w:val=""/>
      <w:lvlJc w:val="left"/>
      <w:pPr>
        <w:ind w:left="720" w:hanging="360"/>
      </w:pPr>
      <w:rPr>
        <w:rFonts w:ascii="Wingdings" w:hAnsi="Wingdings" w:hint="default"/>
        <w:sz w:val="2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3CB816BC"/>
    <w:multiLevelType w:val="hybridMultilevel"/>
    <w:tmpl w:val="BF7CA2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C284EB92">
      <w:start w:val="1"/>
      <w:numFmt w:val="decimal"/>
      <w:lvlText w:val="%4."/>
      <w:lvlJc w:val="left"/>
      <w:pPr>
        <w:ind w:left="2880" w:hanging="360"/>
      </w:pPr>
      <w:rPr>
        <w:b w:val="0"/>
        <w:i w:val="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4C87389"/>
    <w:multiLevelType w:val="multilevel"/>
    <w:tmpl w:val="72606FF2"/>
    <w:lvl w:ilvl="0">
      <w:start w:val="1"/>
      <w:numFmt w:val="lowerLetter"/>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620CC6"/>
    <w:multiLevelType w:val="hybridMultilevel"/>
    <w:tmpl w:val="CED095E6"/>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548C48BC"/>
    <w:multiLevelType w:val="hybridMultilevel"/>
    <w:tmpl w:val="0BA052C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nsid w:val="78371CFE"/>
    <w:multiLevelType w:val="hybridMultilevel"/>
    <w:tmpl w:val="DA488ADC"/>
    <w:lvl w:ilvl="0" w:tplc="F334DD4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7DE801DF"/>
    <w:multiLevelType w:val="hybridMultilevel"/>
    <w:tmpl w:val="AEF4630C"/>
    <w:lvl w:ilvl="0" w:tplc="52BEDE70">
      <w:start w:val="1"/>
      <w:numFmt w:val="decimal"/>
      <w:lvlText w:val="%1."/>
      <w:lvlJc w:val="left"/>
      <w:pPr>
        <w:ind w:left="644"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5"/>
  </w:num>
  <w:num w:numId="5">
    <w:abstractNumId w:val="1"/>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03B"/>
    <w:rsid w:val="001C4073"/>
    <w:rsid w:val="00376CCA"/>
    <w:rsid w:val="0054103B"/>
    <w:rsid w:val="007F08A5"/>
    <w:rsid w:val="00A7020A"/>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C4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03B"/>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5410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03B"/>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541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3035</Words>
  <Characters>17302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FPZG</Company>
  <LinksUpToDate>false</LinksUpToDate>
  <CharactersWithSpaces>20297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Marko</cp:lastModifiedBy>
  <cp:revision>2</cp:revision>
  <dcterms:created xsi:type="dcterms:W3CDTF">2012-09-01T21:53:00Z</dcterms:created>
  <dcterms:modified xsi:type="dcterms:W3CDTF">2012-09-01T21:53:00Z</dcterms:modified>
</cp:coreProperties>
</file>